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B2A1" w14:textId="48EE7239" w:rsidR="002703F3" w:rsidRPr="003333C8" w:rsidRDefault="002703F3" w:rsidP="002703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SHEET 11 TP: </w:t>
      </w:r>
      <w:r w:rsidRPr="003333C8">
        <w:rPr>
          <w:rFonts w:ascii="Arial" w:hAnsi="Arial" w:cs="Arial"/>
          <w:b/>
          <w:sz w:val="28"/>
          <w:szCs w:val="24"/>
        </w:rPr>
        <w:t xml:space="preserve">Tone, </w:t>
      </w:r>
      <w:r w:rsidRPr="003333C8">
        <w:rPr>
          <w:rFonts w:ascii="Arial" w:hAnsi="Arial" w:cs="Arial"/>
          <w:b/>
          <w:sz w:val="28"/>
          <w:szCs w:val="24"/>
        </w:rPr>
        <w:t>text,</w:t>
      </w:r>
      <w:r w:rsidRPr="003333C8">
        <w:rPr>
          <w:rFonts w:ascii="Arial" w:hAnsi="Arial" w:cs="Arial"/>
          <w:b/>
          <w:sz w:val="28"/>
          <w:szCs w:val="24"/>
        </w:rPr>
        <w:t xml:space="preserve"> and timing</w:t>
      </w:r>
    </w:p>
    <w:p w14:paraId="29C274DD" w14:textId="77777777" w:rsidR="002703F3" w:rsidRPr="003333C8" w:rsidRDefault="002703F3" w:rsidP="002703F3">
      <w:p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b/>
          <w:sz w:val="24"/>
          <w:szCs w:val="24"/>
        </w:rPr>
        <w:t>It isn’t what people say it is how you make them feel that counts.</w:t>
      </w:r>
      <w:r w:rsidRPr="003333C8">
        <w:rPr>
          <w:rFonts w:ascii="Arial" w:hAnsi="Arial" w:cs="Arial"/>
          <w:sz w:val="24"/>
          <w:szCs w:val="24"/>
        </w:rPr>
        <w:t xml:space="preserve"> This is so true in any relationship.</w:t>
      </w:r>
    </w:p>
    <w:p w14:paraId="2409FE1F" w14:textId="77777777" w:rsidR="002703F3" w:rsidRPr="003333C8" w:rsidRDefault="002703F3" w:rsidP="002703F3">
      <w:p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Research shows that WHAT we say is only a small part of how we communicate, HOW we say it and WHEN we say it can be far more important. </w:t>
      </w:r>
    </w:p>
    <w:p w14:paraId="2E66A419" w14:textId="77777777" w:rsidR="002703F3" w:rsidRPr="003333C8" w:rsidRDefault="002703F3" w:rsidP="002703F3">
      <w:p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ADB24FF" wp14:editId="04273005">
            <wp:simplePos x="0" y="0"/>
            <wp:positionH relativeFrom="column">
              <wp:posOffset>4155440</wp:posOffset>
            </wp:positionH>
            <wp:positionV relativeFrom="paragraph">
              <wp:posOffset>248920</wp:posOffset>
            </wp:positionV>
            <wp:extent cx="5353050" cy="4086225"/>
            <wp:effectExtent l="0" t="0" r="0" b="0"/>
            <wp:wrapTight wrapText="bothSides">
              <wp:wrapPolygon edited="0">
                <wp:start x="10147" y="201"/>
                <wp:lineTo x="9685" y="604"/>
                <wp:lineTo x="8532" y="1712"/>
                <wp:lineTo x="8302" y="3524"/>
                <wp:lineTo x="8609" y="5236"/>
                <wp:lineTo x="4535" y="5841"/>
                <wp:lineTo x="3075" y="6243"/>
                <wp:lineTo x="3075" y="6848"/>
                <wp:lineTo x="2690" y="7653"/>
                <wp:lineTo x="2383" y="8358"/>
                <wp:lineTo x="2460" y="10171"/>
                <wp:lineTo x="3305" y="11681"/>
                <wp:lineTo x="5919" y="13292"/>
                <wp:lineTo x="6611" y="14903"/>
                <wp:lineTo x="5996" y="15206"/>
                <wp:lineTo x="4920" y="16213"/>
                <wp:lineTo x="4612" y="18025"/>
                <wp:lineTo x="4612" y="18327"/>
                <wp:lineTo x="4920" y="19737"/>
                <wp:lineTo x="4920" y="20039"/>
                <wp:lineTo x="6149" y="21248"/>
                <wp:lineTo x="6457" y="21449"/>
                <wp:lineTo x="15143" y="21449"/>
                <wp:lineTo x="15451" y="21248"/>
                <wp:lineTo x="16680" y="20039"/>
                <wp:lineTo x="16757" y="19737"/>
                <wp:lineTo x="17065" y="18126"/>
                <wp:lineTo x="16757" y="16313"/>
                <wp:lineTo x="15604" y="15206"/>
                <wp:lineTo x="15066" y="14903"/>
                <wp:lineTo x="15681" y="13292"/>
                <wp:lineTo x="18295" y="11681"/>
                <wp:lineTo x="19140" y="10171"/>
                <wp:lineTo x="19294" y="8459"/>
                <wp:lineTo x="18833" y="7351"/>
                <wp:lineTo x="18679" y="6243"/>
                <wp:lineTo x="17065" y="5841"/>
                <wp:lineTo x="12991" y="5236"/>
                <wp:lineTo x="13375" y="3625"/>
                <wp:lineTo x="13144" y="1813"/>
                <wp:lineTo x="11915" y="604"/>
                <wp:lineTo x="11453" y="201"/>
                <wp:lineTo x="10147" y="201"/>
              </wp:wrapPolygon>
            </wp:wrapTight>
            <wp:docPr id="44" name="Diagram 4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3C8">
        <w:rPr>
          <w:rFonts w:ascii="Arial" w:hAnsi="Arial" w:cs="Arial"/>
          <w:sz w:val="24"/>
          <w:szCs w:val="24"/>
        </w:rPr>
        <w:t>For effective communication you need everything in this diagram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</w:tblGrid>
      <w:tr w:rsidR="002703F3" w:rsidRPr="003333C8" w14:paraId="47C963CA" w14:textId="77777777" w:rsidTr="00514DE3">
        <w:tc>
          <w:tcPr>
            <w:tcW w:w="1696" w:type="dxa"/>
          </w:tcPr>
          <w:p w14:paraId="32B21116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Right timing</w:t>
            </w:r>
          </w:p>
        </w:tc>
        <w:tc>
          <w:tcPr>
            <w:tcW w:w="4536" w:type="dxa"/>
          </w:tcPr>
          <w:p w14:paraId="74464B73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Pick your moments and pick your battles – perhaps not when everyone is tired/stressed</w:t>
            </w:r>
          </w:p>
        </w:tc>
      </w:tr>
      <w:tr w:rsidR="002703F3" w:rsidRPr="003333C8" w14:paraId="4071F8B1" w14:textId="77777777" w:rsidTr="00514DE3">
        <w:tc>
          <w:tcPr>
            <w:tcW w:w="1696" w:type="dxa"/>
          </w:tcPr>
          <w:p w14:paraId="140618EC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Right place</w:t>
            </w:r>
          </w:p>
        </w:tc>
        <w:tc>
          <w:tcPr>
            <w:tcW w:w="4536" w:type="dxa"/>
          </w:tcPr>
          <w:p w14:paraId="48F6D5B9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Think about where to talk, if it is a sensitive issue perhaps not in front of the children.</w:t>
            </w:r>
          </w:p>
        </w:tc>
      </w:tr>
      <w:tr w:rsidR="002703F3" w:rsidRPr="003333C8" w14:paraId="5904693E" w14:textId="77777777" w:rsidTr="00514DE3">
        <w:tc>
          <w:tcPr>
            <w:tcW w:w="1696" w:type="dxa"/>
          </w:tcPr>
          <w:p w14:paraId="6F5E7A03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Right tone</w:t>
            </w:r>
          </w:p>
        </w:tc>
        <w:tc>
          <w:tcPr>
            <w:tcW w:w="4536" w:type="dxa"/>
          </w:tcPr>
          <w:p w14:paraId="167BAB85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b/>
                <w:sz w:val="24"/>
                <w:szCs w:val="24"/>
              </w:rPr>
              <w:t>This is our delivery system and conveys meaning</w:t>
            </w:r>
            <w:r w:rsidRPr="003333C8">
              <w:rPr>
                <w:rFonts w:ascii="Arial" w:hAnsi="Arial" w:cs="Arial"/>
                <w:sz w:val="24"/>
                <w:szCs w:val="24"/>
              </w:rPr>
              <w:t xml:space="preserve"> – if you use the wrong tone of voice, it might escalate the argument.  </w:t>
            </w:r>
          </w:p>
          <w:p w14:paraId="216FCC7C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The wrong tone can quickly trigger conflict.</w:t>
            </w:r>
          </w:p>
        </w:tc>
      </w:tr>
      <w:tr w:rsidR="002703F3" w:rsidRPr="003333C8" w14:paraId="16B14A59" w14:textId="77777777" w:rsidTr="00514DE3">
        <w:tc>
          <w:tcPr>
            <w:tcW w:w="1696" w:type="dxa"/>
          </w:tcPr>
          <w:p w14:paraId="19465235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Right words</w:t>
            </w:r>
          </w:p>
        </w:tc>
        <w:tc>
          <w:tcPr>
            <w:tcW w:w="4536" w:type="dxa"/>
          </w:tcPr>
          <w:p w14:paraId="39CC7732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 xml:space="preserve">Don’t forget when you… I feel… Because… </w:t>
            </w:r>
          </w:p>
          <w:p w14:paraId="74059EFD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Try to use ‘I’ messages rather than ‘</w:t>
            </w:r>
            <w:proofErr w:type="gramStart"/>
            <w:r w:rsidRPr="003333C8">
              <w:rPr>
                <w:rFonts w:ascii="Arial" w:hAnsi="Arial" w:cs="Arial"/>
                <w:sz w:val="24"/>
                <w:szCs w:val="24"/>
              </w:rPr>
              <w:t>you</w:t>
            </w:r>
            <w:proofErr w:type="gramEnd"/>
            <w:r w:rsidRPr="003333C8">
              <w:rPr>
                <w:rFonts w:ascii="Arial" w:hAnsi="Arial" w:cs="Arial"/>
                <w:sz w:val="24"/>
                <w:szCs w:val="24"/>
              </w:rPr>
              <w:t>’ messages</w:t>
            </w:r>
          </w:p>
        </w:tc>
      </w:tr>
      <w:tr w:rsidR="002703F3" w:rsidRPr="003333C8" w14:paraId="10BA2857" w14:textId="77777777" w:rsidTr="00514DE3">
        <w:tc>
          <w:tcPr>
            <w:tcW w:w="1696" w:type="dxa"/>
          </w:tcPr>
          <w:p w14:paraId="2A7DE451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Right body language</w:t>
            </w:r>
          </w:p>
        </w:tc>
        <w:tc>
          <w:tcPr>
            <w:tcW w:w="4536" w:type="dxa"/>
          </w:tcPr>
          <w:p w14:paraId="3AACC2CE" w14:textId="77777777" w:rsidR="002703F3" w:rsidRPr="003333C8" w:rsidRDefault="002703F3" w:rsidP="00514DE3">
            <w:pPr>
              <w:rPr>
                <w:rFonts w:ascii="Arial" w:hAnsi="Arial" w:cs="Arial"/>
                <w:sz w:val="24"/>
                <w:szCs w:val="24"/>
              </w:rPr>
            </w:pPr>
            <w:r w:rsidRPr="003333C8">
              <w:rPr>
                <w:rFonts w:ascii="Arial" w:hAnsi="Arial" w:cs="Arial"/>
                <w:sz w:val="24"/>
                <w:szCs w:val="24"/>
              </w:rPr>
              <w:t>Think about how you are sitting/standing – folding arms, pointing fingers may not be helpful! Using a more open body language may help with talking to your partner.</w:t>
            </w:r>
          </w:p>
        </w:tc>
      </w:tr>
    </w:tbl>
    <w:p w14:paraId="50AA3A5E" w14:textId="77777777" w:rsidR="002703F3" w:rsidRPr="003333C8" w:rsidRDefault="002703F3" w:rsidP="002703F3">
      <w:pPr>
        <w:rPr>
          <w:rFonts w:ascii="Arial" w:hAnsi="Arial" w:cs="Arial"/>
          <w:sz w:val="24"/>
          <w:szCs w:val="24"/>
        </w:rPr>
      </w:pPr>
    </w:p>
    <w:p w14:paraId="78455B85" w14:textId="7EA0C567" w:rsidR="002C3A44" w:rsidRPr="002703F3" w:rsidRDefault="002C3A44">
      <w:pPr>
        <w:rPr>
          <w:rFonts w:ascii="Arial" w:hAnsi="Arial" w:cs="Arial"/>
          <w:sz w:val="24"/>
          <w:szCs w:val="24"/>
        </w:rPr>
      </w:pPr>
    </w:p>
    <w:sectPr w:rsidR="002C3A44" w:rsidRPr="002703F3" w:rsidSect="002703F3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69F0B8A-02E4-4F31-A43C-A346FC69FDAB}"/>
    <w:docVar w:name="dgnword-eventsink" w:val="1678088280000"/>
  </w:docVars>
  <w:rsids>
    <w:rsidRoot w:val="002703F3"/>
    <w:rsid w:val="00146263"/>
    <w:rsid w:val="002703F3"/>
    <w:rsid w:val="002C3A44"/>
    <w:rsid w:val="00A16A91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0F5DB"/>
  <w15:chartTrackingRefBased/>
  <w15:docId w15:val="{9E546D38-C7A0-4095-9BEC-D7193BEC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3F3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3F3"/>
    <w:pPr>
      <w:spacing w:after="0" w:line="240" w:lineRule="auto"/>
    </w:pPr>
    <w:rPr>
      <w:rFonts w:asciiTheme="minorHAnsi" w:hAnsiTheme="minorHAnsi"/>
      <w:bCs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F0A7073-F378-4B28-A17E-A7369D5617BB}" type="doc">
      <dgm:prSet loTypeId="urn:microsoft.com/office/officeart/2005/8/layout/radial3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GB"/>
        </a:p>
      </dgm:t>
    </dgm:pt>
    <dgm:pt modelId="{D8DD614C-1A71-4CF3-A0C2-8E8D1006C40B}">
      <dgm:prSet phldrT="[Text]"/>
      <dgm:spPr>
        <a:xfrm>
          <a:off x="1501336" y="1013931"/>
          <a:ext cx="2350377" cy="2350377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Couple conversations</a:t>
          </a:r>
        </a:p>
      </dgm:t>
    </dgm:pt>
    <dgm:pt modelId="{900529E9-0CBA-4AA2-969C-BBFA1D322AED}" type="parTrans" cxnId="{40924545-ECC3-4731-88EE-4E8A77556CE6}">
      <dgm:prSet/>
      <dgm:spPr/>
      <dgm:t>
        <a:bodyPr/>
        <a:lstStyle/>
        <a:p>
          <a:endParaRPr lang="en-GB"/>
        </a:p>
      </dgm:t>
    </dgm:pt>
    <dgm:pt modelId="{5E1A41FF-E3E3-40F5-B235-6B0A19126484}" type="sibTrans" cxnId="{40924545-ECC3-4731-88EE-4E8A77556CE6}">
      <dgm:prSet/>
      <dgm:spPr/>
      <dgm:t>
        <a:bodyPr/>
        <a:lstStyle/>
        <a:p>
          <a:endParaRPr lang="en-GB"/>
        </a:p>
      </dgm:t>
    </dgm:pt>
    <dgm:pt modelId="{FF35547F-3D63-483C-9610-B15809CC5F17}">
      <dgm:prSet phldrT="[Text]"/>
      <dgm:spPr>
        <a:xfrm>
          <a:off x="2088930" y="72514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timing</a:t>
          </a:r>
        </a:p>
      </dgm:t>
    </dgm:pt>
    <dgm:pt modelId="{D08B4302-A7AD-4709-96A8-96192F3CD31D}" type="parTrans" cxnId="{42D2B484-C917-46AD-B37E-E47FCCA27F16}">
      <dgm:prSet/>
      <dgm:spPr/>
      <dgm:t>
        <a:bodyPr/>
        <a:lstStyle/>
        <a:p>
          <a:endParaRPr lang="en-GB"/>
        </a:p>
      </dgm:t>
    </dgm:pt>
    <dgm:pt modelId="{33530944-5187-48F1-A94D-53AB19D83986}" type="sibTrans" cxnId="{42D2B484-C917-46AD-B37E-E47FCCA27F16}">
      <dgm:prSet/>
      <dgm:spPr/>
      <dgm:t>
        <a:bodyPr/>
        <a:lstStyle/>
        <a:p>
          <a:endParaRPr lang="en-GB"/>
        </a:p>
      </dgm:t>
    </dgm:pt>
    <dgm:pt modelId="{3ED0F023-1769-4813-B2F9-D4B103488BFB}">
      <dgm:prSet phldrT="[Text]"/>
      <dgm:spPr>
        <a:xfrm>
          <a:off x="3543106" y="1129035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place</a:t>
          </a:r>
        </a:p>
      </dgm:t>
    </dgm:pt>
    <dgm:pt modelId="{2BD619CA-5122-465F-A07C-92F5674E19AB}" type="parTrans" cxnId="{5679260B-4CEF-4B88-A956-208EB8052C6C}">
      <dgm:prSet/>
      <dgm:spPr/>
      <dgm:t>
        <a:bodyPr/>
        <a:lstStyle/>
        <a:p>
          <a:endParaRPr lang="en-GB"/>
        </a:p>
      </dgm:t>
    </dgm:pt>
    <dgm:pt modelId="{777F6574-1649-43BE-8F3F-1FE50A7D6127}" type="sibTrans" cxnId="{5679260B-4CEF-4B88-A956-208EB8052C6C}">
      <dgm:prSet/>
      <dgm:spPr/>
      <dgm:t>
        <a:bodyPr/>
        <a:lstStyle/>
        <a:p>
          <a:endParaRPr lang="en-GB"/>
        </a:p>
      </dgm:t>
    </dgm:pt>
    <dgm:pt modelId="{6F7F77E6-2ABA-41C8-960F-68E66A827CEC}">
      <dgm:prSet phldrT="[Text]"/>
      <dgm:spPr>
        <a:xfrm>
          <a:off x="2987660" y="2838521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tone</a:t>
          </a:r>
          <a:r>
            <a:rPr lang="en-GB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: our delivery system</a:t>
          </a:r>
        </a:p>
      </dgm:t>
    </dgm:pt>
    <dgm:pt modelId="{5AA5BA47-6A4A-4A99-A306-2136DA1346B1}" type="parTrans" cxnId="{5F23DF51-217D-455E-96D7-A2BE8E9E1550}">
      <dgm:prSet/>
      <dgm:spPr/>
      <dgm:t>
        <a:bodyPr/>
        <a:lstStyle/>
        <a:p>
          <a:endParaRPr lang="en-GB"/>
        </a:p>
      </dgm:t>
    </dgm:pt>
    <dgm:pt modelId="{705A5421-FCBB-4E0F-B3F5-910B001028EF}" type="sibTrans" cxnId="{5F23DF51-217D-455E-96D7-A2BE8E9E1550}">
      <dgm:prSet/>
      <dgm:spPr/>
      <dgm:t>
        <a:bodyPr/>
        <a:lstStyle/>
        <a:p>
          <a:endParaRPr lang="en-GB"/>
        </a:p>
      </dgm:t>
    </dgm:pt>
    <dgm:pt modelId="{131FE30E-F088-4110-8491-BCD18D33A596}">
      <dgm:prSet phldrT="[Text]"/>
      <dgm:spPr>
        <a:xfrm>
          <a:off x="634754" y="1129035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body language</a:t>
          </a:r>
        </a:p>
      </dgm:t>
    </dgm:pt>
    <dgm:pt modelId="{1D8A624A-4432-42C1-B140-02F2AE7B7352}" type="parTrans" cxnId="{26AF16DC-54E1-49A2-AC9E-4A07A83FB9B2}">
      <dgm:prSet/>
      <dgm:spPr/>
      <dgm:t>
        <a:bodyPr/>
        <a:lstStyle/>
        <a:p>
          <a:endParaRPr lang="en-GB"/>
        </a:p>
      </dgm:t>
    </dgm:pt>
    <dgm:pt modelId="{4A3EE359-4019-4917-9C26-41A8084350A7}" type="sibTrans" cxnId="{26AF16DC-54E1-49A2-AC9E-4A07A83FB9B2}">
      <dgm:prSet/>
      <dgm:spPr/>
      <dgm:t>
        <a:bodyPr/>
        <a:lstStyle/>
        <a:p>
          <a:endParaRPr lang="en-GB"/>
        </a:p>
      </dgm:t>
    </dgm:pt>
    <dgm:pt modelId="{BF773B01-74F9-47D7-A2CB-8912FE298CDD}">
      <dgm:prSet phldrT="[Text]"/>
      <dgm:spPr>
        <a:xfrm>
          <a:off x="1190200" y="2838521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words</a:t>
          </a:r>
        </a:p>
      </dgm:t>
    </dgm:pt>
    <dgm:pt modelId="{A723DE47-626A-4C34-B497-1039673D1AF1}" type="parTrans" cxnId="{1CCA6CDF-FDCE-4114-BFE4-BBAAEF309B19}">
      <dgm:prSet/>
      <dgm:spPr/>
      <dgm:t>
        <a:bodyPr/>
        <a:lstStyle/>
        <a:p>
          <a:endParaRPr lang="en-GB"/>
        </a:p>
      </dgm:t>
    </dgm:pt>
    <dgm:pt modelId="{4FE4912C-85EC-4D41-9640-1AA57EA4E4E3}" type="sibTrans" cxnId="{1CCA6CDF-FDCE-4114-BFE4-BBAAEF309B19}">
      <dgm:prSet/>
      <dgm:spPr/>
      <dgm:t>
        <a:bodyPr/>
        <a:lstStyle/>
        <a:p>
          <a:endParaRPr lang="en-GB"/>
        </a:p>
      </dgm:t>
    </dgm:pt>
    <dgm:pt modelId="{B4E6F040-6E34-4305-A4FA-2F8FD92685C7}" type="pres">
      <dgm:prSet presAssocID="{DF0A7073-F378-4B28-A17E-A7369D5617BB}" presName="composite" presStyleCnt="0">
        <dgm:presLayoutVars>
          <dgm:chMax val="1"/>
          <dgm:dir/>
          <dgm:resizeHandles val="exact"/>
        </dgm:presLayoutVars>
      </dgm:prSet>
      <dgm:spPr/>
    </dgm:pt>
    <dgm:pt modelId="{ECA3DE4C-166E-4487-A4FA-0EC2DFC9DA05}" type="pres">
      <dgm:prSet presAssocID="{DF0A7073-F378-4B28-A17E-A7369D5617BB}" presName="radial" presStyleCnt="0">
        <dgm:presLayoutVars>
          <dgm:animLvl val="ctr"/>
        </dgm:presLayoutVars>
      </dgm:prSet>
      <dgm:spPr/>
    </dgm:pt>
    <dgm:pt modelId="{944896A1-BAAC-44DC-95E4-7C0A2EBDC9AA}" type="pres">
      <dgm:prSet presAssocID="{D8DD614C-1A71-4CF3-A0C2-8E8D1006C40B}" presName="centerShape" presStyleLbl="vennNode1" presStyleIdx="0" presStyleCnt="6"/>
      <dgm:spPr/>
    </dgm:pt>
    <dgm:pt modelId="{8F584748-DE4D-47C8-9937-B07E4F25348C}" type="pres">
      <dgm:prSet presAssocID="{FF35547F-3D63-483C-9610-B15809CC5F17}" presName="node" presStyleLbl="vennNode1" presStyleIdx="1" presStyleCnt="6">
        <dgm:presLayoutVars>
          <dgm:bulletEnabled val="1"/>
        </dgm:presLayoutVars>
      </dgm:prSet>
      <dgm:spPr/>
    </dgm:pt>
    <dgm:pt modelId="{E2BB3CA4-8265-4E2E-8E34-946A22AC3177}" type="pres">
      <dgm:prSet presAssocID="{3ED0F023-1769-4813-B2F9-D4B103488BFB}" presName="node" presStyleLbl="vennNode1" presStyleIdx="2" presStyleCnt="6">
        <dgm:presLayoutVars>
          <dgm:bulletEnabled val="1"/>
        </dgm:presLayoutVars>
      </dgm:prSet>
      <dgm:spPr/>
    </dgm:pt>
    <dgm:pt modelId="{C0C37AFF-AA59-409E-85B2-592F340F490A}" type="pres">
      <dgm:prSet presAssocID="{6F7F77E6-2ABA-41C8-960F-68E66A827CEC}" presName="node" presStyleLbl="vennNode1" presStyleIdx="3" presStyleCnt="6">
        <dgm:presLayoutVars>
          <dgm:bulletEnabled val="1"/>
        </dgm:presLayoutVars>
      </dgm:prSet>
      <dgm:spPr/>
    </dgm:pt>
    <dgm:pt modelId="{B14CC3AD-E9CA-42D6-B28E-FE8D1A9A6C62}" type="pres">
      <dgm:prSet presAssocID="{BF773B01-74F9-47D7-A2CB-8912FE298CDD}" presName="node" presStyleLbl="vennNode1" presStyleIdx="4" presStyleCnt="6">
        <dgm:presLayoutVars>
          <dgm:bulletEnabled val="1"/>
        </dgm:presLayoutVars>
      </dgm:prSet>
      <dgm:spPr/>
    </dgm:pt>
    <dgm:pt modelId="{57AB43E4-B7B7-43A7-B26B-72634FF041F8}" type="pres">
      <dgm:prSet presAssocID="{131FE30E-F088-4110-8491-BCD18D33A596}" presName="node" presStyleLbl="vennNode1" presStyleIdx="5" presStyleCnt="6">
        <dgm:presLayoutVars>
          <dgm:bulletEnabled val="1"/>
        </dgm:presLayoutVars>
      </dgm:prSet>
      <dgm:spPr/>
    </dgm:pt>
  </dgm:ptLst>
  <dgm:cxnLst>
    <dgm:cxn modelId="{5679260B-4CEF-4B88-A956-208EB8052C6C}" srcId="{D8DD614C-1A71-4CF3-A0C2-8E8D1006C40B}" destId="{3ED0F023-1769-4813-B2F9-D4B103488BFB}" srcOrd="1" destOrd="0" parTransId="{2BD619CA-5122-465F-A07C-92F5674E19AB}" sibTransId="{777F6574-1649-43BE-8F3F-1FE50A7D6127}"/>
    <dgm:cxn modelId="{9B9AF85C-8F50-45C5-8542-FC13F15FE091}" type="presOf" srcId="{BF773B01-74F9-47D7-A2CB-8912FE298CDD}" destId="{B14CC3AD-E9CA-42D6-B28E-FE8D1A9A6C62}" srcOrd="0" destOrd="0" presId="urn:microsoft.com/office/officeart/2005/8/layout/radial3"/>
    <dgm:cxn modelId="{D4C1F163-0E90-4333-A0D0-E12730515DBF}" type="presOf" srcId="{3ED0F023-1769-4813-B2F9-D4B103488BFB}" destId="{E2BB3CA4-8265-4E2E-8E34-946A22AC3177}" srcOrd="0" destOrd="0" presId="urn:microsoft.com/office/officeart/2005/8/layout/radial3"/>
    <dgm:cxn modelId="{40924545-ECC3-4731-88EE-4E8A77556CE6}" srcId="{DF0A7073-F378-4B28-A17E-A7369D5617BB}" destId="{D8DD614C-1A71-4CF3-A0C2-8E8D1006C40B}" srcOrd="0" destOrd="0" parTransId="{900529E9-0CBA-4AA2-969C-BBFA1D322AED}" sibTransId="{5E1A41FF-E3E3-40F5-B235-6B0A19126484}"/>
    <dgm:cxn modelId="{672B7748-D678-4412-9C60-1509647CEC8F}" type="presOf" srcId="{FF35547F-3D63-483C-9610-B15809CC5F17}" destId="{8F584748-DE4D-47C8-9937-B07E4F25348C}" srcOrd="0" destOrd="0" presId="urn:microsoft.com/office/officeart/2005/8/layout/radial3"/>
    <dgm:cxn modelId="{F9C8394D-328D-4E5F-B849-4E235C177831}" type="presOf" srcId="{D8DD614C-1A71-4CF3-A0C2-8E8D1006C40B}" destId="{944896A1-BAAC-44DC-95E4-7C0A2EBDC9AA}" srcOrd="0" destOrd="0" presId="urn:microsoft.com/office/officeart/2005/8/layout/radial3"/>
    <dgm:cxn modelId="{25078D4E-9A2E-416E-83BD-9749C3DFFA1C}" type="presOf" srcId="{131FE30E-F088-4110-8491-BCD18D33A596}" destId="{57AB43E4-B7B7-43A7-B26B-72634FF041F8}" srcOrd="0" destOrd="0" presId="urn:microsoft.com/office/officeart/2005/8/layout/radial3"/>
    <dgm:cxn modelId="{5F23DF51-217D-455E-96D7-A2BE8E9E1550}" srcId="{D8DD614C-1A71-4CF3-A0C2-8E8D1006C40B}" destId="{6F7F77E6-2ABA-41C8-960F-68E66A827CEC}" srcOrd="2" destOrd="0" parTransId="{5AA5BA47-6A4A-4A99-A306-2136DA1346B1}" sibTransId="{705A5421-FCBB-4E0F-B3F5-910B001028EF}"/>
    <dgm:cxn modelId="{42D2B484-C917-46AD-B37E-E47FCCA27F16}" srcId="{D8DD614C-1A71-4CF3-A0C2-8E8D1006C40B}" destId="{FF35547F-3D63-483C-9610-B15809CC5F17}" srcOrd="0" destOrd="0" parTransId="{D08B4302-A7AD-4709-96A8-96192F3CD31D}" sibTransId="{33530944-5187-48F1-A94D-53AB19D83986}"/>
    <dgm:cxn modelId="{2D1EF9BC-57B7-44BE-89FF-38C54337647D}" type="presOf" srcId="{6F7F77E6-2ABA-41C8-960F-68E66A827CEC}" destId="{C0C37AFF-AA59-409E-85B2-592F340F490A}" srcOrd="0" destOrd="0" presId="urn:microsoft.com/office/officeart/2005/8/layout/radial3"/>
    <dgm:cxn modelId="{26AF16DC-54E1-49A2-AC9E-4A07A83FB9B2}" srcId="{D8DD614C-1A71-4CF3-A0C2-8E8D1006C40B}" destId="{131FE30E-F088-4110-8491-BCD18D33A596}" srcOrd="4" destOrd="0" parTransId="{1D8A624A-4432-42C1-B140-02F2AE7B7352}" sibTransId="{4A3EE359-4019-4917-9C26-41A8084350A7}"/>
    <dgm:cxn modelId="{1CCA6CDF-FDCE-4114-BFE4-BBAAEF309B19}" srcId="{D8DD614C-1A71-4CF3-A0C2-8E8D1006C40B}" destId="{BF773B01-74F9-47D7-A2CB-8912FE298CDD}" srcOrd="3" destOrd="0" parTransId="{A723DE47-626A-4C34-B497-1039673D1AF1}" sibTransId="{4FE4912C-85EC-4D41-9640-1AA57EA4E4E3}"/>
    <dgm:cxn modelId="{56336EE8-03AC-4D97-8261-3464B7CFFC5D}" type="presOf" srcId="{DF0A7073-F378-4B28-A17E-A7369D5617BB}" destId="{B4E6F040-6E34-4305-A4FA-2F8FD92685C7}" srcOrd="0" destOrd="0" presId="urn:microsoft.com/office/officeart/2005/8/layout/radial3"/>
    <dgm:cxn modelId="{0807B9DA-CEE0-4C34-A6E9-8A39119D814C}" type="presParOf" srcId="{B4E6F040-6E34-4305-A4FA-2F8FD92685C7}" destId="{ECA3DE4C-166E-4487-A4FA-0EC2DFC9DA05}" srcOrd="0" destOrd="0" presId="urn:microsoft.com/office/officeart/2005/8/layout/radial3"/>
    <dgm:cxn modelId="{A3818F96-0680-4971-849E-0CD8B81DB248}" type="presParOf" srcId="{ECA3DE4C-166E-4487-A4FA-0EC2DFC9DA05}" destId="{944896A1-BAAC-44DC-95E4-7C0A2EBDC9AA}" srcOrd="0" destOrd="0" presId="urn:microsoft.com/office/officeart/2005/8/layout/radial3"/>
    <dgm:cxn modelId="{B71DFE04-9D5A-4BC9-875D-B4E95E1B2C41}" type="presParOf" srcId="{ECA3DE4C-166E-4487-A4FA-0EC2DFC9DA05}" destId="{8F584748-DE4D-47C8-9937-B07E4F25348C}" srcOrd="1" destOrd="0" presId="urn:microsoft.com/office/officeart/2005/8/layout/radial3"/>
    <dgm:cxn modelId="{1BD77F6B-2C3A-4DCA-8B5C-F252E0BF8AE8}" type="presParOf" srcId="{ECA3DE4C-166E-4487-A4FA-0EC2DFC9DA05}" destId="{E2BB3CA4-8265-4E2E-8E34-946A22AC3177}" srcOrd="2" destOrd="0" presId="urn:microsoft.com/office/officeart/2005/8/layout/radial3"/>
    <dgm:cxn modelId="{A7E5A5D6-E99F-4267-9F77-F7DEE7248E20}" type="presParOf" srcId="{ECA3DE4C-166E-4487-A4FA-0EC2DFC9DA05}" destId="{C0C37AFF-AA59-409E-85B2-592F340F490A}" srcOrd="3" destOrd="0" presId="urn:microsoft.com/office/officeart/2005/8/layout/radial3"/>
    <dgm:cxn modelId="{CE34819B-B4E8-4382-A668-2C0CF337C7D6}" type="presParOf" srcId="{ECA3DE4C-166E-4487-A4FA-0EC2DFC9DA05}" destId="{B14CC3AD-E9CA-42D6-B28E-FE8D1A9A6C62}" srcOrd="4" destOrd="0" presId="urn:microsoft.com/office/officeart/2005/8/layout/radial3"/>
    <dgm:cxn modelId="{1140FDAB-FFF5-418B-AC36-3944502077ED}" type="presParOf" srcId="{ECA3DE4C-166E-4487-A4FA-0EC2DFC9DA05}" destId="{57AB43E4-B7B7-43A7-B26B-72634FF041F8}" srcOrd="5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4896A1-BAAC-44DC-95E4-7C0A2EBDC9AA}">
      <dsp:nvSpPr>
        <dsp:cNvPr id="0" name=""/>
        <dsp:cNvSpPr/>
      </dsp:nvSpPr>
      <dsp:spPr>
        <a:xfrm>
          <a:off x="1501336" y="1013931"/>
          <a:ext cx="2350377" cy="2350377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2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Couple conversations</a:t>
          </a:r>
        </a:p>
      </dsp:txBody>
      <dsp:txXfrm>
        <a:off x="1845541" y="1358136"/>
        <a:ext cx="1661967" cy="1661967"/>
      </dsp:txXfrm>
    </dsp:sp>
    <dsp:sp modelId="{8F584748-DE4D-47C8-9937-B07E4F25348C}">
      <dsp:nvSpPr>
        <dsp:cNvPr id="0" name=""/>
        <dsp:cNvSpPr/>
      </dsp:nvSpPr>
      <dsp:spPr>
        <a:xfrm>
          <a:off x="2088930" y="72514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timing</a:t>
          </a:r>
        </a:p>
      </dsp:txBody>
      <dsp:txXfrm>
        <a:off x="2261032" y="244616"/>
        <a:ext cx="830984" cy="830984"/>
      </dsp:txXfrm>
    </dsp:sp>
    <dsp:sp modelId="{E2BB3CA4-8265-4E2E-8E34-946A22AC3177}">
      <dsp:nvSpPr>
        <dsp:cNvPr id="0" name=""/>
        <dsp:cNvSpPr/>
      </dsp:nvSpPr>
      <dsp:spPr>
        <a:xfrm>
          <a:off x="3543106" y="1129035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place</a:t>
          </a:r>
        </a:p>
      </dsp:txBody>
      <dsp:txXfrm>
        <a:off x="3715208" y="1301137"/>
        <a:ext cx="830984" cy="830984"/>
      </dsp:txXfrm>
    </dsp:sp>
    <dsp:sp modelId="{C0C37AFF-AA59-409E-85B2-592F340F490A}">
      <dsp:nvSpPr>
        <dsp:cNvPr id="0" name=""/>
        <dsp:cNvSpPr/>
      </dsp:nvSpPr>
      <dsp:spPr>
        <a:xfrm>
          <a:off x="2987660" y="2838521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b="1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tone</a:t>
          </a:r>
          <a:r>
            <a:rPr lang="en-GB" sz="14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: our delivery system</a:t>
          </a:r>
        </a:p>
      </dsp:txBody>
      <dsp:txXfrm>
        <a:off x="3159762" y="3010623"/>
        <a:ext cx="830984" cy="830984"/>
      </dsp:txXfrm>
    </dsp:sp>
    <dsp:sp modelId="{B14CC3AD-E9CA-42D6-B28E-FE8D1A9A6C62}">
      <dsp:nvSpPr>
        <dsp:cNvPr id="0" name=""/>
        <dsp:cNvSpPr/>
      </dsp:nvSpPr>
      <dsp:spPr>
        <a:xfrm>
          <a:off x="1190200" y="2838521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words</a:t>
          </a:r>
        </a:p>
      </dsp:txBody>
      <dsp:txXfrm>
        <a:off x="1362302" y="3010623"/>
        <a:ext cx="830984" cy="830984"/>
      </dsp:txXfrm>
    </dsp:sp>
    <dsp:sp modelId="{57AB43E4-B7B7-43A7-B26B-72634FF041F8}">
      <dsp:nvSpPr>
        <dsp:cNvPr id="0" name=""/>
        <dsp:cNvSpPr/>
      </dsp:nvSpPr>
      <dsp:spPr>
        <a:xfrm>
          <a:off x="634754" y="1129035"/>
          <a:ext cx="1175188" cy="11751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Right body language</a:t>
          </a:r>
        </a:p>
      </dsp:txBody>
      <dsp:txXfrm>
        <a:off x="806856" y="1301137"/>
        <a:ext cx="830984" cy="8309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2024-04-08T10:19:00Z</dcterms:created>
  <dcterms:modified xsi:type="dcterms:W3CDTF">2024-04-08T10:21:00Z</dcterms:modified>
</cp:coreProperties>
</file>